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4C9A2C" w14:textId="6AA63D14" w:rsidR="00713C3E" w:rsidRDefault="00713C3E" w:rsidP="00713C3E">
      <w:pPr>
        <w:rPr>
          <w:rFonts w:cs="Times New Roman"/>
          <w:b/>
          <w:bCs/>
          <w:lang w:val="en-US"/>
        </w:rPr>
      </w:pPr>
      <w:r>
        <w:rPr>
          <w:rFonts w:cs="Times New Roman"/>
          <w:b/>
          <w:bCs/>
          <w:lang w:val="en-US"/>
        </w:rPr>
        <w:t>Supplementary Figure Legends</w:t>
      </w:r>
      <w:bookmarkStart w:id="0" w:name="_GoBack"/>
      <w:bookmarkEnd w:id="0"/>
    </w:p>
    <w:p w14:paraId="033D8845" w14:textId="43678B02" w:rsidR="00713C3E" w:rsidRDefault="00713C3E" w:rsidP="00713C3E">
      <w:pPr>
        <w:rPr>
          <w:rFonts w:cs="Times New Roman"/>
          <w:b/>
          <w:bCs/>
          <w:lang w:val="en-US"/>
        </w:rPr>
      </w:pPr>
      <w:r>
        <w:rPr>
          <w:rFonts w:cs="Times New Roman"/>
          <w:b/>
          <w:bCs/>
          <w:lang w:val="en-US"/>
        </w:rPr>
        <w:t>Supplemental Figure 1: Changes in the relative number of neutrophils above cutoff over the course of ruxolitinib therapy</w:t>
      </w:r>
    </w:p>
    <w:p w14:paraId="6AA168E0" w14:textId="77777777" w:rsidR="00713C3E" w:rsidRDefault="00713C3E" w:rsidP="00713C3E">
      <w:pPr>
        <w:rPr>
          <w:rFonts w:cs="Times New Roman"/>
          <w:lang w:val="en-US"/>
        </w:rPr>
      </w:pPr>
      <w:r>
        <w:rPr>
          <w:rFonts w:cs="Times New Roman"/>
          <w:b/>
          <w:bCs/>
          <w:lang w:val="en-US"/>
        </w:rPr>
        <w:t xml:space="preserve">(A) </w:t>
      </w:r>
      <w:r>
        <w:rPr>
          <w:rFonts w:cs="Times New Roman"/>
          <w:lang w:val="en-US"/>
        </w:rPr>
        <w:t>Cell size distribution of neutrophils upon treatment of CXCL1, representative of all stimuli conditions. Neutrophils were grouped according to their measured cell size in µm² and binned from 25 µm² to 725 µm² with a bin width of 50 µm². Relative frequency was computed by dividing the number of cells in a group by the number of cells in the entire image. The dashed grey line indicates the mean of the age- and gender-matched controls (n = 6), the blue line indicates the aCML neutrophils and the red dashed line indicates the cutoff of 225 µm². Binning was performed with GraphPad Prism</w:t>
      </w:r>
      <w:r>
        <w:rPr>
          <w:rFonts w:cs="Times New Roman"/>
          <w:vertAlign w:val="superscript"/>
          <w:lang w:val="en-US"/>
        </w:rPr>
        <w:t>TM</w:t>
      </w:r>
      <w:r>
        <w:rPr>
          <w:rFonts w:cs="Times New Roman"/>
          <w:lang w:val="en-US"/>
        </w:rPr>
        <w:t xml:space="preserve">. </w:t>
      </w:r>
      <w:r>
        <w:rPr>
          <w:rFonts w:cs="Times New Roman"/>
          <w:b/>
          <w:bCs/>
          <w:lang w:val="en-US"/>
        </w:rPr>
        <w:t>(B)</w:t>
      </w:r>
      <w:r>
        <w:rPr>
          <w:rFonts w:cs="Times New Roman"/>
          <w:lang w:val="en-US"/>
        </w:rPr>
        <w:t xml:space="preserve"> Changes in the relative number of neutrophils with a cell size &gt; 225 µm² under the four stimulation conditions over the course of therapy. Black triangles and black solid lines indicate aCML neutrophils (every timepoint n = 1), while grey dots and grey dashed lines indicate the median and the grey dotted lines indicate the interquartile range of the age- and gender-matched controls (n = 6). On average, 41 and 56 cells per condition were analyzed in age- and gender-matched controls and the aCML patient, respectively. Numbers label the specific percentage of cells &gt; 225 µm² for the indicated timepoint. </w:t>
      </w:r>
    </w:p>
    <w:p w14:paraId="4D4140DA" w14:textId="77777777" w:rsidR="00713C3E" w:rsidRDefault="00713C3E" w:rsidP="00713C3E">
      <w:pPr>
        <w:rPr>
          <w:rFonts w:cs="Times New Roman"/>
          <w:b/>
          <w:bCs/>
          <w:lang w:val="en-US"/>
        </w:rPr>
      </w:pPr>
      <w:r>
        <w:rPr>
          <w:rFonts w:cs="Times New Roman"/>
          <w:b/>
          <w:bCs/>
          <w:lang w:val="en-US"/>
        </w:rPr>
        <w:t>Supplemental Figure 2: Expression of surface markers of aCML neutrophils over the course of ruxolitinib therapy and correlation with migration patterns</w:t>
      </w:r>
    </w:p>
    <w:p w14:paraId="5B61D61E" w14:textId="77777777" w:rsidR="00713C3E" w:rsidRDefault="00713C3E" w:rsidP="00713C3E">
      <w:pPr>
        <w:rPr>
          <w:rFonts w:cs="Times New Roman"/>
          <w:lang w:val="en-US"/>
        </w:rPr>
      </w:pPr>
      <w:r>
        <w:rPr>
          <w:rFonts w:cs="Times New Roman"/>
          <w:b/>
          <w:bCs/>
          <w:lang w:val="en-US"/>
        </w:rPr>
        <w:t>(A)</w:t>
      </w:r>
      <w:r>
        <w:rPr>
          <w:rFonts w:cs="Times New Roman"/>
          <w:lang w:val="en-US"/>
        </w:rPr>
        <w:t xml:space="preserve"> Comparison of CD15 and CD16 expression of aCML neutrophils after two weeks of ruxolitinib treatment (2 weeks Ruxo) after two different purification methods: density gradient centrifugation (density gradient, left) and negative magnetic isolation via MACSxpress® separation (MACS, right). </w:t>
      </w:r>
      <w:r>
        <w:rPr>
          <w:rFonts w:cs="Times New Roman"/>
          <w:b/>
          <w:bCs/>
          <w:lang w:val="en-US"/>
        </w:rPr>
        <w:t>(B)</w:t>
      </w:r>
      <w:r>
        <w:rPr>
          <w:rFonts w:cs="Times New Roman"/>
          <w:lang w:val="en-US"/>
        </w:rPr>
        <w:t xml:space="preserve"> Changes in CD16, CD15 and fMLPR (top) as well as CXCR1 and CXCR2 (bottom) expression given as mean fluorescent intensity (mfi) of aCML neutrophils over the course of therapy. Black triangles and black solid lines indicate the aCML patient (every timepoint n = 1), while grey dots and grey dashed lines indicate the median and the grey dotted lines indicate the interquartile range of the age-matched controls (n = 5). Numbers label the specific values for receptor expression at the respective timepoint. </w:t>
      </w:r>
      <w:r>
        <w:rPr>
          <w:rFonts w:cs="Times New Roman"/>
          <w:b/>
          <w:lang w:val="en-US"/>
        </w:rPr>
        <w:t>(C-F)</w:t>
      </w:r>
      <w:r>
        <w:rPr>
          <w:rFonts w:cs="Times New Roman"/>
          <w:lang w:val="en-US"/>
        </w:rPr>
        <w:t xml:space="preserve"> Correlation of receptor expression against migration upon corresponding stimulus treatment. Black triangles indicate the aCML patient (n = 1) and grey dots indicate age-matched controls (n = 5). Correlations were computed using GraphPad Prism</w:t>
      </w:r>
      <w:r>
        <w:rPr>
          <w:rFonts w:cs="Times New Roman"/>
          <w:vertAlign w:val="superscript"/>
          <w:lang w:val="en-US"/>
        </w:rPr>
        <w:t>TM</w:t>
      </w:r>
      <w:r>
        <w:rPr>
          <w:rFonts w:cs="Times New Roman"/>
          <w:lang w:val="en-US"/>
        </w:rPr>
        <w:t xml:space="preserve">. Spearman </w:t>
      </w:r>
      <w:r>
        <w:rPr>
          <w:rFonts w:cs="Times New Roman"/>
          <w:i/>
          <w:lang w:val="en-US"/>
        </w:rPr>
        <w:t>r</w:t>
      </w:r>
      <w:r>
        <w:rPr>
          <w:rFonts w:cs="Times New Roman"/>
          <w:lang w:val="en-US"/>
        </w:rPr>
        <w:t xml:space="preserve"> and </w:t>
      </w:r>
      <w:r>
        <w:rPr>
          <w:rFonts w:cs="Times New Roman"/>
          <w:i/>
          <w:lang w:val="en-US"/>
        </w:rPr>
        <w:t>p</w:t>
      </w:r>
      <w:r>
        <w:rPr>
          <w:rFonts w:cs="Times New Roman"/>
          <w:lang w:val="en-US"/>
        </w:rPr>
        <w:t xml:space="preserve">-value for the </w:t>
      </w:r>
      <w:r>
        <w:rPr>
          <w:rFonts w:cs="Times New Roman"/>
          <w:lang w:val="en-US"/>
        </w:rPr>
        <w:lastRenderedPageBreak/>
        <w:t xml:space="preserve">correlation of aCML samples are given. </w:t>
      </w:r>
      <w:r>
        <w:rPr>
          <w:rFonts w:cs="Times New Roman"/>
          <w:b/>
          <w:lang w:val="en-US"/>
        </w:rPr>
        <w:t>(C)</w:t>
      </w:r>
      <w:r>
        <w:rPr>
          <w:rFonts w:cs="Times New Roman"/>
          <w:lang w:val="en-US"/>
        </w:rPr>
        <w:t xml:space="preserve"> fMLPR expression correlated against migration upon fMLPR treatment. </w:t>
      </w:r>
      <w:r>
        <w:rPr>
          <w:rFonts w:cs="Times New Roman"/>
          <w:b/>
          <w:lang w:val="en-US"/>
        </w:rPr>
        <w:t>(D)</w:t>
      </w:r>
      <w:r>
        <w:rPr>
          <w:rFonts w:cs="Times New Roman"/>
          <w:lang w:val="en-US"/>
        </w:rPr>
        <w:t xml:space="preserve"> CXCR1 expression correlated against migration upon CXCL8 treatment. </w:t>
      </w:r>
      <w:r>
        <w:rPr>
          <w:rFonts w:cs="Times New Roman"/>
          <w:b/>
          <w:lang w:val="en-US"/>
        </w:rPr>
        <w:t>(E)</w:t>
      </w:r>
      <w:r>
        <w:rPr>
          <w:rFonts w:cs="Times New Roman"/>
          <w:lang w:val="en-US"/>
        </w:rPr>
        <w:t xml:space="preserve"> CXCR2 expression correlated against CXCL1 treatment. </w:t>
      </w:r>
      <w:r>
        <w:rPr>
          <w:rFonts w:cs="Times New Roman"/>
          <w:b/>
          <w:lang w:val="en-US"/>
        </w:rPr>
        <w:t>(F)</w:t>
      </w:r>
      <w:r>
        <w:rPr>
          <w:rFonts w:cs="Times New Roman"/>
          <w:lang w:val="en-US"/>
        </w:rPr>
        <w:t xml:space="preserve"> CXCR2 expression correlated against CXCL8 treatment.</w:t>
      </w:r>
    </w:p>
    <w:p w14:paraId="53601E74" w14:textId="77777777" w:rsidR="00713C3E" w:rsidRDefault="00713C3E" w:rsidP="00713C3E">
      <w:pPr>
        <w:rPr>
          <w:rFonts w:cs="Times New Roman"/>
          <w:b/>
          <w:bCs/>
          <w:lang w:val="en-US"/>
        </w:rPr>
      </w:pPr>
      <w:r>
        <w:rPr>
          <w:rFonts w:cs="Times New Roman"/>
          <w:b/>
          <w:bCs/>
          <w:lang w:val="en-US"/>
        </w:rPr>
        <w:t>Supplemental Figure 3: Changes in leukocyte parameters during ruxolitinib therapy and correlation of peripheral leukocyte counts with migration patterns</w:t>
      </w:r>
    </w:p>
    <w:p w14:paraId="297D3503" w14:textId="77777777" w:rsidR="00713C3E" w:rsidRDefault="00713C3E" w:rsidP="00713C3E">
      <w:pPr>
        <w:rPr>
          <w:rFonts w:cs="Times New Roman"/>
          <w:lang w:val="en-US"/>
        </w:rPr>
      </w:pPr>
      <w:r>
        <w:rPr>
          <w:rFonts w:cs="Times New Roman"/>
          <w:b/>
          <w:bCs/>
          <w:lang w:val="en-US"/>
        </w:rPr>
        <w:t>(A) – (E)</w:t>
      </w:r>
      <w:r>
        <w:rPr>
          <w:rFonts w:cs="Times New Roman"/>
          <w:lang w:val="en-US"/>
        </w:rPr>
        <w:t xml:space="preserve"> Time course of chosen peripheral blood parameters of the aCML patient over the course of his disease and therapy. Displayed are the absolute WBC </w:t>
      </w:r>
      <w:r>
        <w:rPr>
          <w:rFonts w:cs="Times New Roman"/>
          <w:b/>
          <w:bCs/>
          <w:lang w:val="en-US"/>
        </w:rPr>
        <w:t>(A)</w:t>
      </w:r>
      <w:r>
        <w:rPr>
          <w:rFonts w:cs="Times New Roman"/>
          <w:lang w:val="en-US"/>
        </w:rPr>
        <w:t xml:space="preserve">, myeloblast </w:t>
      </w:r>
      <w:r>
        <w:rPr>
          <w:rFonts w:cs="Times New Roman"/>
          <w:b/>
          <w:bCs/>
          <w:lang w:val="en-US"/>
        </w:rPr>
        <w:t>(B)</w:t>
      </w:r>
      <w:r>
        <w:rPr>
          <w:rFonts w:cs="Times New Roman"/>
          <w:lang w:val="en-US"/>
        </w:rPr>
        <w:t xml:space="preserve"> and metamyelocyte </w:t>
      </w:r>
      <w:r>
        <w:rPr>
          <w:rFonts w:cs="Times New Roman"/>
          <w:b/>
          <w:bCs/>
          <w:lang w:val="en-US"/>
        </w:rPr>
        <w:t>(C)</w:t>
      </w:r>
      <w:r>
        <w:rPr>
          <w:rFonts w:cs="Times New Roman"/>
          <w:lang w:val="en-US"/>
        </w:rPr>
        <w:t xml:space="preserve"> counts in cells/nl as well as the banded neutrophil granulocyte </w:t>
      </w:r>
      <w:r>
        <w:rPr>
          <w:rFonts w:cs="Times New Roman"/>
          <w:b/>
          <w:bCs/>
          <w:lang w:val="en-US"/>
        </w:rPr>
        <w:t>(D)</w:t>
      </w:r>
      <w:r>
        <w:rPr>
          <w:rFonts w:cs="Times New Roman"/>
          <w:lang w:val="en-US"/>
        </w:rPr>
        <w:t xml:space="preserve"> and myelocyte </w:t>
      </w:r>
      <w:r>
        <w:rPr>
          <w:rFonts w:cs="Times New Roman"/>
          <w:b/>
          <w:bCs/>
          <w:lang w:val="en-US"/>
        </w:rPr>
        <w:t>(E)</w:t>
      </w:r>
      <w:r>
        <w:rPr>
          <w:rFonts w:cs="Times New Roman"/>
          <w:lang w:val="en-US"/>
        </w:rPr>
        <w:t xml:space="preserve"> counts relative to the overall WBC in %. Red dots indicate timepoints where migration and flow cytometry data were acquired. </w:t>
      </w:r>
      <w:r>
        <w:rPr>
          <w:rFonts w:cs="Times New Roman"/>
          <w:b/>
          <w:lang w:val="en-US"/>
        </w:rPr>
        <w:t>(F)</w:t>
      </w:r>
      <w:r>
        <w:rPr>
          <w:rFonts w:cs="Times New Roman"/>
          <w:lang w:val="en-US"/>
        </w:rPr>
        <w:t xml:space="preserve"> Correlation of peripheral cell counts with migration patterns upon PBS stimulation. From left to right: leukocyte counts with moving cells (PBS), leukocyte counts with speed excluding non-moving cells (PBS), metamyelocytes with speed excluding non-moving cells (PBS) and banded neutrophils with speed excluding non-moving cells (PBS). </w:t>
      </w:r>
      <w:r>
        <w:rPr>
          <w:rFonts w:cs="Times New Roman"/>
          <w:b/>
          <w:lang w:val="en-US"/>
        </w:rPr>
        <w:t>(G)</w:t>
      </w:r>
      <w:r>
        <w:rPr>
          <w:rFonts w:cs="Times New Roman"/>
          <w:lang w:val="en-US"/>
        </w:rPr>
        <w:t xml:space="preserve"> Correlation of metamyelocyte counts with speed excluding non-moving cells upon CXCL1 treatment. </w:t>
      </w:r>
      <w:r>
        <w:rPr>
          <w:rFonts w:cs="Times New Roman"/>
          <w:b/>
          <w:lang w:val="en-US"/>
        </w:rPr>
        <w:t>(H)</w:t>
      </w:r>
      <w:r>
        <w:rPr>
          <w:rFonts w:cs="Times New Roman"/>
          <w:lang w:val="en-US"/>
        </w:rPr>
        <w:t xml:space="preserve"> Correlation of metamyelocyte counts with speed excluding non-moving cells upon CXCL8 treatment. </w:t>
      </w:r>
      <w:r>
        <w:rPr>
          <w:rFonts w:cs="Times New Roman"/>
          <w:b/>
          <w:lang w:val="en-US"/>
        </w:rPr>
        <w:t xml:space="preserve">(F) - (H) </w:t>
      </w:r>
      <w:r>
        <w:rPr>
          <w:rFonts w:cs="Times New Roman"/>
          <w:lang w:val="en-US"/>
        </w:rPr>
        <w:t>Correlations were computed using GraphPad Prism</w:t>
      </w:r>
      <w:r>
        <w:rPr>
          <w:rFonts w:cs="Times New Roman"/>
          <w:vertAlign w:val="superscript"/>
          <w:lang w:val="en-US"/>
        </w:rPr>
        <w:t>TM</w:t>
      </w:r>
      <w:r>
        <w:rPr>
          <w:rFonts w:cs="Times New Roman"/>
          <w:lang w:val="en-US"/>
        </w:rPr>
        <w:t xml:space="preserve">. Spearman </w:t>
      </w:r>
      <w:r>
        <w:rPr>
          <w:rFonts w:cs="Times New Roman"/>
          <w:i/>
          <w:lang w:val="en-US"/>
        </w:rPr>
        <w:t>r</w:t>
      </w:r>
      <w:r>
        <w:rPr>
          <w:rFonts w:cs="Times New Roman"/>
          <w:lang w:val="en-US"/>
        </w:rPr>
        <w:t xml:space="preserve"> and </w:t>
      </w:r>
      <w:r>
        <w:rPr>
          <w:rFonts w:cs="Times New Roman"/>
          <w:i/>
          <w:lang w:val="en-US"/>
        </w:rPr>
        <w:t>p</w:t>
      </w:r>
      <w:r>
        <w:rPr>
          <w:rFonts w:cs="Times New Roman"/>
          <w:lang w:val="en-US"/>
        </w:rPr>
        <w:t>-values are given for each correlation below the graph.</w:t>
      </w:r>
    </w:p>
    <w:p w14:paraId="23ACB50C" w14:textId="77777777" w:rsidR="006274B5" w:rsidRPr="00713C3E" w:rsidRDefault="006274B5">
      <w:pPr>
        <w:rPr>
          <w:lang w:val="en-US"/>
        </w:rPr>
      </w:pPr>
    </w:p>
    <w:sectPr w:rsidR="006274B5" w:rsidRPr="00713C3E" w:rsidSect="000E1A2A">
      <w:type w:val="continuous"/>
      <w:pgSz w:w="11906" w:h="16838" w:code="9"/>
      <w:pgMar w:top="1134" w:right="1418" w:bottom="1134" w:left="1418"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defaultTabStop w:val="708"/>
  <w:hyphenationZone w:val="425"/>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C3E"/>
    <w:rsid w:val="000E1A2A"/>
    <w:rsid w:val="0062041D"/>
    <w:rsid w:val="006274B5"/>
    <w:rsid w:val="006D6988"/>
    <w:rsid w:val="00713C3E"/>
    <w:rsid w:val="009F037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B2050"/>
  <w15:chartTrackingRefBased/>
  <w15:docId w15:val="{0CCFD45E-3FB9-4D70-9772-0CD28E4CB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13C3E"/>
    <w:pPr>
      <w:spacing w:line="480" w:lineRule="auto"/>
      <w:jc w:val="both"/>
    </w:pPr>
    <w:rPr>
      <w:rFonts w:ascii="Times New Roman" w:hAnsi="Times New Roman"/>
      <w:color w:val="000000" w:themeColor="tex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565</Words>
  <Characters>3561</Characters>
  <Application>Microsoft Office Word</Application>
  <DocSecurity>0</DocSecurity>
  <Lines>29</Lines>
  <Paragraphs>8</Paragraphs>
  <ScaleCrop>false</ScaleCrop>
  <Company/>
  <LinksUpToDate>false</LinksUpToDate>
  <CharactersWithSpaces>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 Bornemann</dc:creator>
  <cp:keywords/>
  <dc:description/>
  <cp:lastModifiedBy>Lea Bornemann</cp:lastModifiedBy>
  <cp:revision>1</cp:revision>
  <dcterms:created xsi:type="dcterms:W3CDTF">2020-02-19T11:30:00Z</dcterms:created>
  <dcterms:modified xsi:type="dcterms:W3CDTF">2020-02-19T11:30:00Z</dcterms:modified>
</cp:coreProperties>
</file>